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528BB" w14:textId="77777777" w:rsidR="003E62A0" w:rsidRDefault="003E62A0">
      <w:pPr>
        <w:spacing w:line="560" w:lineRule="exact"/>
        <w:jc w:val="center"/>
        <w:rPr>
          <w:rFonts w:eastAsia="方正小标宋简体"/>
          <w:snapToGrid w:val="0"/>
          <w:kern w:val="0"/>
          <w:sz w:val="44"/>
          <w:szCs w:val="44"/>
        </w:rPr>
      </w:pPr>
      <w:bookmarkStart w:id="0" w:name="zhengwen"/>
    </w:p>
    <w:p w14:paraId="7FF8527D" w14:textId="77777777" w:rsidR="003E62A0" w:rsidRDefault="003E62A0">
      <w:pPr>
        <w:spacing w:line="560" w:lineRule="exact"/>
        <w:jc w:val="center"/>
        <w:rPr>
          <w:rFonts w:eastAsia="方正小标宋简体"/>
          <w:snapToGrid w:val="0"/>
          <w:kern w:val="0"/>
          <w:sz w:val="44"/>
          <w:szCs w:val="44"/>
        </w:rPr>
      </w:pPr>
    </w:p>
    <w:p w14:paraId="173F560C" w14:textId="64D9F75C" w:rsidR="00651D0C" w:rsidRPr="00ED3908" w:rsidRDefault="00FF7158">
      <w:pPr>
        <w:pStyle w:val="155"/>
        <w:adjustRightInd w:val="0"/>
        <w:snapToGrid w:val="0"/>
        <w:spacing w:before="0" w:line="600" w:lineRule="exact"/>
        <w:ind w:firstLineChars="0" w:firstLine="0"/>
        <w:rPr>
          <w:rFonts w:asciiTheme="majorEastAsia" w:eastAsiaTheme="majorEastAsia" w:hAnsiTheme="majorEastAsia" w:hint="eastAsia"/>
          <w:b/>
          <w:bCs/>
          <w:color w:val="333333"/>
          <w:sz w:val="44"/>
          <w:szCs w:val="44"/>
          <w:shd w:val="clear" w:color="auto" w:fill="FFFFFF"/>
        </w:rPr>
      </w:pPr>
      <w:r w:rsidRPr="00FF7158">
        <w:rPr>
          <w:rFonts w:asciiTheme="majorEastAsia" w:eastAsiaTheme="majorEastAsia" w:hAnsiTheme="majorEastAsia"/>
          <w:b/>
          <w:bCs/>
          <w:color w:val="333333"/>
          <w:sz w:val="44"/>
          <w:szCs w:val="44"/>
          <w:shd w:val="clear" w:color="auto" w:fill="FFFFFF"/>
        </w:rPr>
        <w:t>宁波市政府非税收入管理实施规定</w:t>
      </w:r>
    </w:p>
    <w:p w14:paraId="0EA8B8B4" w14:textId="52365F8E" w:rsidR="003E62A0" w:rsidRPr="00091FFA" w:rsidRDefault="00651D0C" w:rsidP="00093996">
      <w:pPr>
        <w:spacing w:line="560" w:lineRule="exact"/>
        <w:jc w:val="center"/>
        <w:rPr>
          <w:rFonts w:ascii="楷体_GB2312" w:eastAsia="楷体_GB2312" w:hAnsi="楷体_GB2312" w:cs="楷体_GB2312"/>
          <w:color w:val="333333"/>
          <w:sz w:val="32"/>
          <w:szCs w:val="32"/>
          <w:shd w:val="clear" w:color="auto" w:fill="FFFFFF"/>
        </w:rPr>
      </w:pPr>
      <w:r w:rsidRPr="00091FFA">
        <w:rPr>
          <w:rFonts w:ascii="楷体_GB2312" w:eastAsia="楷体_GB2312" w:hAnsi="楷体_GB2312" w:cs="楷体_GB2312" w:hint="eastAsia"/>
          <w:color w:val="333333"/>
          <w:sz w:val="32"/>
          <w:szCs w:val="32"/>
          <w:shd w:val="clear" w:color="auto" w:fill="FFFFFF"/>
        </w:rPr>
        <w:t>（</w:t>
      </w:r>
      <w:r w:rsidR="00FF7158" w:rsidRPr="00FF7158">
        <w:rPr>
          <w:rFonts w:ascii="楷体_GB2312" w:eastAsia="楷体_GB2312" w:hAnsi="楷体_GB2312" w:cs="楷体_GB2312" w:hint="eastAsia"/>
          <w:color w:val="333333"/>
          <w:sz w:val="32"/>
          <w:szCs w:val="32"/>
          <w:shd w:val="clear" w:color="auto" w:fill="FFFFFF"/>
        </w:rPr>
        <w:t>2011年9月5日宁波市人民政府令第188号公布 根据2021年12月23日宁波市人民政府令第260号修正 自2022年3月1日起施行</w:t>
      </w:r>
      <w:r w:rsidRPr="00091FFA">
        <w:rPr>
          <w:rFonts w:ascii="楷体_GB2312" w:eastAsia="楷体_GB2312" w:hAnsi="楷体_GB2312" w:cs="楷体_GB2312" w:hint="eastAsia"/>
          <w:color w:val="333333"/>
          <w:sz w:val="32"/>
          <w:szCs w:val="32"/>
          <w:shd w:val="clear" w:color="auto" w:fill="FFFFFF"/>
        </w:rPr>
        <w:t>）</w:t>
      </w:r>
    </w:p>
    <w:p w14:paraId="442F7950" w14:textId="77777777" w:rsidR="001A2C75" w:rsidRPr="001A2C75" w:rsidRDefault="001A2C75" w:rsidP="001A2C75">
      <w:pPr>
        <w:pStyle w:val="a0"/>
      </w:pPr>
    </w:p>
    <w:bookmarkEnd w:id="0"/>
    <w:p w14:paraId="28FA7DD8" w14:textId="77777777" w:rsidR="00702DE2" w:rsidRDefault="00702DE2" w:rsidP="00702DE2">
      <w:pPr>
        <w:pStyle w:val="a7"/>
        <w:shd w:val="clear" w:color="auto" w:fill="FFFFFF"/>
        <w:spacing w:before="0" w:beforeAutospacing="0" w:after="0" w:afterAutospacing="0"/>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第一条</w:t>
      </w:r>
      <w:r>
        <w:rPr>
          <w:rFonts w:ascii="Calibri" w:eastAsia="仿宋" w:hAnsi="Calibri" w:cs="Calibri"/>
          <w:color w:val="333333"/>
          <w:sz w:val="32"/>
          <w:szCs w:val="32"/>
        </w:rPr>
        <w:t> </w:t>
      </w:r>
      <w:r>
        <w:rPr>
          <w:rFonts w:ascii="仿宋" w:eastAsia="仿宋" w:hAnsi="仿宋" w:hint="eastAsia"/>
          <w:color w:val="333333"/>
          <w:sz w:val="32"/>
          <w:szCs w:val="32"/>
        </w:rPr>
        <w:t xml:space="preserve"> 为了规范政府非税收入管理活动，提高政府公共管理和公共服务水平，根据《浙江省政府非税收入管理条例》和其他有关法律法规，结合本市实际，制定本规定。</w:t>
      </w:r>
    </w:p>
    <w:p w14:paraId="2CBA8B21" w14:textId="77777777" w:rsidR="00702DE2" w:rsidRDefault="00702DE2" w:rsidP="00702DE2">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第二条</w:t>
      </w:r>
      <w:r>
        <w:rPr>
          <w:rFonts w:ascii="Calibri" w:eastAsia="仿宋" w:hAnsi="Calibri" w:cs="Calibri"/>
          <w:color w:val="333333"/>
          <w:sz w:val="32"/>
          <w:szCs w:val="32"/>
        </w:rPr>
        <w:t> </w:t>
      </w:r>
      <w:r>
        <w:rPr>
          <w:rFonts w:ascii="仿宋" w:eastAsia="仿宋" w:hAnsi="仿宋" w:hint="eastAsia"/>
          <w:color w:val="333333"/>
          <w:sz w:val="32"/>
          <w:szCs w:val="32"/>
        </w:rPr>
        <w:t xml:space="preserve"> 本规定适用于本市行政区域内政府非税收入的执收、资金、票据及相关管理活动。</w:t>
      </w:r>
    </w:p>
    <w:p w14:paraId="0B784BA8" w14:textId="77777777" w:rsidR="00702DE2" w:rsidRDefault="00702DE2" w:rsidP="00702DE2">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国家、省对政府非税收入管理另有规定的，从其规定。</w:t>
      </w:r>
    </w:p>
    <w:p w14:paraId="20FB1744" w14:textId="77777777" w:rsidR="00702DE2" w:rsidRDefault="00702DE2" w:rsidP="00702DE2">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第三条</w:t>
      </w:r>
      <w:r>
        <w:rPr>
          <w:rFonts w:ascii="Calibri" w:eastAsia="仿宋" w:hAnsi="Calibri" w:cs="Calibri"/>
          <w:color w:val="333333"/>
          <w:sz w:val="32"/>
          <w:szCs w:val="32"/>
        </w:rPr>
        <w:t> </w:t>
      </w:r>
      <w:r>
        <w:rPr>
          <w:rFonts w:ascii="仿宋" w:eastAsia="仿宋" w:hAnsi="仿宋" w:hint="eastAsia"/>
          <w:color w:val="333333"/>
          <w:sz w:val="32"/>
          <w:szCs w:val="32"/>
        </w:rPr>
        <w:t xml:space="preserve"> 本市政府非税收</w:t>
      </w:r>
      <w:proofErr w:type="gramStart"/>
      <w:r>
        <w:rPr>
          <w:rFonts w:ascii="仿宋" w:eastAsia="仿宋" w:hAnsi="仿宋" w:hint="eastAsia"/>
          <w:color w:val="333333"/>
          <w:sz w:val="32"/>
          <w:szCs w:val="32"/>
        </w:rPr>
        <w:t>入按照</w:t>
      </w:r>
      <w:proofErr w:type="gramEnd"/>
      <w:r>
        <w:rPr>
          <w:rFonts w:ascii="仿宋" w:eastAsia="仿宋" w:hAnsi="仿宋" w:hint="eastAsia"/>
          <w:color w:val="333333"/>
          <w:sz w:val="32"/>
          <w:szCs w:val="32"/>
        </w:rPr>
        <w:t>省财政部门公布的纳入政府非税收入管理的具体项目目录执行。</w:t>
      </w:r>
    </w:p>
    <w:p w14:paraId="5BB85E1F" w14:textId="77777777" w:rsidR="00702DE2" w:rsidRDefault="00702DE2" w:rsidP="00702DE2">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第四条</w:t>
      </w:r>
      <w:r>
        <w:rPr>
          <w:rFonts w:ascii="Calibri" w:eastAsia="仿宋" w:hAnsi="Calibri" w:cs="Calibri"/>
          <w:color w:val="333333"/>
          <w:sz w:val="32"/>
          <w:szCs w:val="32"/>
        </w:rPr>
        <w:t>  </w:t>
      </w:r>
      <w:r>
        <w:rPr>
          <w:rFonts w:ascii="仿宋" w:eastAsia="仿宋" w:hAnsi="仿宋" w:hint="eastAsia"/>
          <w:color w:val="333333"/>
          <w:sz w:val="32"/>
          <w:szCs w:val="32"/>
        </w:rPr>
        <w:t>市和区县（市）人民政府应当加强对政府非税收入管理工作的领导，完善管理体系和监督机制，协调解决管理中的重大问题，提高政府非税收入管理的信息化、数字化、法治化水平。</w:t>
      </w:r>
    </w:p>
    <w:p w14:paraId="4AFFC3F9" w14:textId="77777777" w:rsidR="00702DE2" w:rsidRDefault="00702DE2" w:rsidP="00702DE2">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第五条</w:t>
      </w:r>
      <w:r>
        <w:rPr>
          <w:rFonts w:ascii="Calibri" w:eastAsia="仿宋" w:hAnsi="Calibri" w:cs="Calibri"/>
          <w:color w:val="333333"/>
          <w:sz w:val="32"/>
          <w:szCs w:val="32"/>
        </w:rPr>
        <w:t>  </w:t>
      </w:r>
      <w:r>
        <w:rPr>
          <w:rFonts w:ascii="仿宋" w:eastAsia="仿宋" w:hAnsi="仿宋" w:hint="eastAsia"/>
          <w:color w:val="333333"/>
          <w:sz w:val="32"/>
          <w:szCs w:val="32"/>
        </w:rPr>
        <w:t>市和区县（市）财政部门是本行政区域内的政府非税收</w:t>
      </w:r>
      <w:proofErr w:type="gramStart"/>
      <w:r>
        <w:rPr>
          <w:rFonts w:ascii="仿宋" w:eastAsia="仿宋" w:hAnsi="仿宋" w:hint="eastAsia"/>
          <w:color w:val="333333"/>
          <w:sz w:val="32"/>
          <w:szCs w:val="32"/>
        </w:rPr>
        <w:t>入主管</w:t>
      </w:r>
      <w:proofErr w:type="gramEnd"/>
      <w:r>
        <w:rPr>
          <w:rFonts w:ascii="仿宋" w:eastAsia="仿宋" w:hAnsi="仿宋" w:hint="eastAsia"/>
          <w:color w:val="333333"/>
          <w:sz w:val="32"/>
          <w:szCs w:val="32"/>
        </w:rPr>
        <w:t>部门，负责政府非税收入的监督管理工作。发展和改革、</w:t>
      </w:r>
      <w:r>
        <w:rPr>
          <w:rFonts w:ascii="仿宋" w:eastAsia="仿宋" w:hAnsi="仿宋" w:hint="eastAsia"/>
          <w:color w:val="333333"/>
          <w:sz w:val="32"/>
          <w:szCs w:val="32"/>
        </w:rPr>
        <w:lastRenderedPageBreak/>
        <w:t>市场监督管理、审计等部门和人民银行按照各自职责，做好政府非税收</w:t>
      </w:r>
      <w:proofErr w:type="gramStart"/>
      <w:r>
        <w:rPr>
          <w:rFonts w:ascii="仿宋" w:eastAsia="仿宋" w:hAnsi="仿宋" w:hint="eastAsia"/>
          <w:color w:val="333333"/>
          <w:sz w:val="32"/>
          <w:szCs w:val="32"/>
        </w:rPr>
        <w:t>入监督</w:t>
      </w:r>
      <w:proofErr w:type="gramEnd"/>
      <w:r>
        <w:rPr>
          <w:rFonts w:ascii="仿宋" w:eastAsia="仿宋" w:hAnsi="仿宋" w:hint="eastAsia"/>
          <w:color w:val="333333"/>
          <w:sz w:val="32"/>
          <w:szCs w:val="32"/>
        </w:rPr>
        <w:t>管理工作。</w:t>
      </w:r>
    </w:p>
    <w:p w14:paraId="510DF2D6" w14:textId="77777777" w:rsidR="00702DE2" w:rsidRDefault="00702DE2" w:rsidP="00702DE2">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第六条</w:t>
      </w:r>
      <w:r>
        <w:rPr>
          <w:rFonts w:ascii="Calibri" w:eastAsia="仿宋" w:hAnsi="Calibri" w:cs="Calibri"/>
          <w:color w:val="333333"/>
          <w:sz w:val="32"/>
          <w:szCs w:val="32"/>
        </w:rPr>
        <w:t>  </w:t>
      </w:r>
      <w:r>
        <w:rPr>
          <w:rFonts w:ascii="仿宋" w:eastAsia="仿宋" w:hAnsi="仿宋" w:hint="eastAsia"/>
          <w:color w:val="333333"/>
          <w:sz w:val="32"/>
          <w:szCs w:val="32"/>
        </w:rPr>
        <w:t>市和区县（市）人民政府应当按照政府非税收入不同性质分别纳入一般公共预算、政府性基金预算和国有资本经营预算管理。</w:t>
      </w:r>
    </w:p>
    <w:p w14:paraId="1F29CB3E" w14:textId="77777777" w:rsidR="00702DE2" w:rsidRDefault="00702DE2" w:rsidP="00702DE2">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第七条</w:t>
      </w:r>
      <w:r>
        <w:rPr>
          <w:rFonts w:ascii="Calibri" w:eastAsia="仿宋" w:hAnsi="Calibri" w:cs="Calibri"/>
          <w:color w:val="333333"/>
          <w:sz w:val="32"/>
          <w:szCs w:val="32"/>
        </w:rPr>
        <w:t>  </w:t>
      </w:r>
      <w:r>
        <w:rPr>
          <w:rFonts w:ascii="仿宋" w:eastAsia="仿宋" w:hAnsi="仿宋" w:hint="eastAsia"/>
          <w:color w:val="333333"/>
          <w:sz w:val="32"/>
          <w:szCs w:val="32"/>
        </w:rPr>
        <w:t>法律、法规、规章对委托执收政府非税收入有规定的，从其规定；未作规定，但因特殊情况确需委托执收的，由执收单位向同级财政部门提出书面申请，在征得省财政部门同意后，方可委托。</w:t>
      </w:r>
    </w:p>
    <w:p w14:paraId="2166D8A6" w14:textId="77777777" w:rsidR="00702DE2" w:rsidRDefault="00702DE2" w:rsidP="00702DE2">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第八条</w:t>
      </w:r>
      <w:r>
        <w:rPr>
          <w:rFonts w:ascii="Calibri" w:eastAsia="仿宋" w:hAnsi="Calibri" w:cs="Calibri"/>
          <w:color w:val="333333"/>
          <w:sz w:val="32"/>
          <w:szCs w:val="32"/>
        </w:rPr>
        <w:t>  </w:t>
      </w:r>
      <w:r>
        <w:rPr>
          <w:rFonts w:ascii="仿宋" w:eastAsia="仿宋" w:hAnsi="仿宋" w:hint="eastAsia"/>
          <w:color w:val="333333"/>
          <w:sz w:val="32"/>
          <w:szCs w:val="32"/>
        </w:rPr>
        <w:t>执收单位应当履行下列职责:</w:t>
      </w:r>
    </w:p>
    <w:p w14:paraId="01922AF4" w14:textId="77777777" w:rsidR="00702DE2" w:rsidRDefault="00702DE2" w:rsidP="00702DE2">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（一）建立健全政府非税收</w:t>
      </w:r>
      <w:proofErr w:type="gramStart"/>
      <w:r>
        <w:rPr>
          <w:rFonts w:ascii="仿宋" w:eastAsia="仿宋" w:hAnsi="仿宋" w:hint="eastAsia"/>
          <w:color w:val="333333"/>
          <w:sz w:val="32"/>
          <w:szCs w:val="32"/>
        </w:rPr>
        <w:t>入内部</w:t>
      </w:r>
      <w:proofErr w:type="gramEnd"/>
      <w:r>
        <w:rPr>
          <w:rFonts w:ascii="仿宋" w:eastAsia="仿宋" w:hAnsi="仿宋" w:hint="eastAsia"/>
          <w:color w:val="333333"/>
          <w:sz w:val="32"/>
          <w:szCs w:val="32"/>
        </w:rPr>
        <w:t>管理制度；</w:t>
      </w:r>
    </w:p>
    <w:p w14:paraId="5F869387" w14:textId="77777777" w:rsidR="00702DE2" w:rsidRDefault="00702DE2" w:rsidP="00702DE2">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（二）向社会公布由本单位负责执收的政府非税收入项目、范围、对象、标准、期限、程序、减免事项及其依据；</w:t>
      </w:r>
    </w:p>
    <w:p w14:paraId="48D6876C" w14:textId="77777777" w:rsidR="00702DE2" w:rsidRDefault="00702DE2" w:rsidP="00702DE2">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（三）按照规定编制本单位政府非税收入年度收入预算，并报同级财政部门；</w:t>
      </w:r>
    </w:p>
    <w:p w14:paraId="69161652" w14:textId="77777777" w:rsidR="00702DE2" w:rsidRDefault="00702DE2" w:rsidP="00702DE2">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（四）按照规定的政府非税收入项目、执</w:t>
      </w:r>
      <w:proofErr w:type="gramStart"/>
      <w:r>
        <w:rPr>
          <w:rFonts w:ascii="仿宋" w:eastAsia="仿宋" w:hAnsi="仿宋" w:hint="eastAsia"/>
          <w:color w:val="333333"/>
          <w:sz w:val="32"/>
          <w:szCs w:val="32"/>
        </w:rPr>
        <w:t>收范围</w:t>
      </w:r>
      <w:proofErr w:type="gramEnd"/>
      <w:r>
        <w:rPr>
          <w:rFonts w:ascii="仿宋" w:eastAsia="仿宋" w:hAnsi="仿宋" w:hint="eastAsia"/>
          <w:color w:val="333333"/>
          <w:sz w:val="32"/>
          <w:szCs w:val="32"/>
        </w:rPr>
        <w:t>和</w:t>
      </w:r>
      <w:proofErr w:type="gramStart"/>
      <w:r>
        <w:rPr>
          <w:rFonts w:ascii="仿宋" w:eastAsia="仿宋" w:hAnsi="仿宋" w:hint="eastAsia"/>
          <w:color w:val="333333"/>
          <w:sz w:val="32"/>
          <w:szCs w:val="32"/>
        </w:rPr>
        <w:t>执收</w:t>
      </w:r>
      <w:proofErr w:type="gramEnd"/>
      <w:r>
        <w:rPr>
          <w:rFonts w:ascii="仿宋" w:eastAsia="仿宋" w:hAnsi="仿宋" w:hint="eastAsia"/>
          <w:color w:val="333333"/>
          <w:sz w:val="32"/>
          <w:szCs w:val="32"/>
        </w:rPr>
        <w:t>标准执收政府非税收入，及时足额上缴政府非税收入，并对欠缴、少缴的政府非税收入实施催缴；</w:t>
      </w:r>
    </w:p>
    <w:p w14:paraId="0F632AB3" w14:textId="77777777" w:rsidR="00702DE2" w:rsidRDefault="00702DE2" w:rsidP="00702DE2">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lastRenderedPageBreak/>
        <w:t>（五）按照规定将所收款</w:t>
      </w:r>
      <w:proofErr w:type="gramStart"/>
      <w:r>
        <w:rPr>
          <w:rFonts w:ascii="仿宋" w:eastAsia="仿宋" w:hAnsi="仿宋" w:hint="eastAsia"/>
          <w:color w:val="333333"/>
          <w:sz w:val="32"/>
          <w:szCs w:val="32"/>
        </w:rPr>
        <w:t>项直接</w:t>
      </w:r>
      <w:proofErr w:type="gramEnd"/>
      <w:r>
        <w:rPr>
          <w:rFonts w:ascii="仿宋" w:eastAsia="仿宋" w:hAnsi="仿宋" w:hint="eastAsia"/>
          <w:color w:val="333333"/>
          <w:sz w:val="32"/>
          <w:szCs w:val="32"/>
        </w:rPr>
        <w:t>缴入国库、财政专</w:t>
      </w:r>
      <w:proofErr w:type="gramStart"/>
      <w:r>
        <w:rPr>
          <w:rFonts w:ascii="仿宋" w:eastAsia="仿宋" w:hAnsi="仿宋" w:hint="eastAsia"/>
          <w:color w:val="333333"/>
          <w:sz w:val="32"/>
          <w:szCs w:val="32"/>
        </w:rPr>
        <w:t>户或者</w:t>
      </w:r>
      <w:proofErr w:type="gramEnd"/>
      <w:r>
        <w:rPr>
          <w:rFonts w:ascii="仿宋" w:eastAsia="仿宋" w:hAnsi="仿宋" w:hint="eastAsia"/>
          <w:color w:val="333333"/>
          <w:sz w:val="32"/>
          <w:szCs w:val="32"/>
        </w:rPr>
        <w:t>财政结算账户；</w:t>
      </w:r>
    </w:p>
    <w:p w14:paraId="6A69BF82" w14:textId="77777777" w:rsidR="00702DE2" w:rsidRDefault="00702DE2" w:rsidP="00702DE2">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（六）负责登记本单位执收的政府非税收入台账，并及时与同级财政部门、代收政府非税收入的商业银行对账；</w:t>
      </w:r>
    </w:p>
    <w:p w14:paraId="75E4DE0D" w14:textId="77777777" w:rsidR="00702DE2" w:rsidRDefault="00702DE2" w:rsidP="00702DE2">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（七）向财政部门和上级主管部门报送政府非</w:t>
      </w:r>
      <w:proofErr w:type="gramStart"/>
      <w:r>
        <w:rPr>
          <w:rFonts w:ascii="仿宋" w:eastAsia="仿宋" w:hAnsi="仿宋" w:hint="eastAsia"/>
          <w:color w:val="333333"/>
          <w:sz w:val="32"/>
          <w:szCs w:val="32"/>
        </w:rPr>
        <w:t>税收入执收</w:t>
      </w:r>
      <w:proofErr w:type="gramEnd"/>
      <w:r>
        <w:rPr>
          <w:rFonts w:ascii="仿宋" w:eastAsia="仿宋" w:hAnsi="仿宋" w:hint="eastAsia"/>
          <w:color w:val="333333"/>
          <w:sz w:val="32"/>
          <w:szCs w:val="32"/>
        </w:rPr>
        <w:t>情况，并附文字说明材料；</w:t>
      </w:r>
    </w:p>
    <w:p w14:paraId="68279447" w14:textId="77777777" w:rsidR="00702DE2" w:rsidRDefault="00702DE2" w:rsidP="00702DE2">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（八）执行政府非税收入管理的其他有关规定。</w:t>
      </w:r>
    </w:p>
    <w:p w14:paraId="517055DD" w14:textId="77777777" w:rsidR="00702DE2" w:rsidRDefault="00702DE2" w:rsidP="00702DE2">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第九条</w:t>
      </w:r>
      <w:r>
        <w:rPr>
          <w:rFonts w:ascii="Calibri" w:eastAsia="仿宋" w:hAnsi="Calibri" w:cs="Calibri"/>
          <w:color w:val="333333"/>
          <w:sz w:val="32"/>
          <w:szCs w:val="32"/>
        </w:rPr>
        <w:t> </w:t>
      </w:r>
      <w:r>
        <w:rPr>
          <w:rFonts w:ascii="仿宋" w:eastAsia="仿宋" w:hAnsi="仿宋" w:hint="eastAsia"/>
          <w:color w:val="333333"/>
          <w:sz w:val="32"/>
          <w:szCs w:val="32"/>
        </w:rPr>
        <w:t xml:space="preserve"> 执收单位应当使用政府非税收入收缴管理电子信息系统实施执收工作。</w:t>
      </w:r>
    </w:p>
    <w:p w14:paraId="5D9AD29B" w14:textId="77777777" w:rsidR="00702DE2" w:rsidRDefault="00702DE2" w:rsidP="00702DE2">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财政部门应当加强政府非税收入收缴管理电子信息系统的建设、维护和管理，实现财政部门、代收政府非税收入的商业银行、执收单位实时联网、票款核对、数据自动结报以及信息资源共享。</w:t>
      </w:r>
    </w:p>
    <w:p w14:paraId="178E5D8D" w14:textId="77777777" w:rsidR="00702DE2" w:rsidRDefault="00702DE2" w:rsidP="00702DE2">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鼓励采取网上银行、移动银行、第三方支付机构等多种电子化收缴方式，为执收单位、缴款义务人提供便利。</w:t>
      </w:r>
    </w:p>
    <w:p w14:paraId="4BA7AA83" w14:textId="77777777" w:rsidR="00702DE2" w:rsidRDefault="00702DE2" w:rsidP="00702DE2">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第十条</w:t>
      </w:r>
      <w:r>
        <w:rPr>
          <w:rFonts w:ascii="Calibri" w:eastAsia="仿宋" w:hAnsi="Calibri" w:cs="Calibri"/>
          <w:color w:val="333333"/>
          <w:sz w:val="32"/>
          <w:szCs w:val="32"/>
        </w:rPr>
        <w:t>  </w:t>
      </w:r>
      <w:r>
        <w:rPr>
          <w:rFonts w:ascii="仿宋" w:eastAsia="仿宋" w:hAnsi="仿宋" w:hint="eastAsia"/>
          <w:color w:val="333333"/>
          <w:sz w:val="32"/>
          <w:szCs w:val="32"/>
        </w:rPr>
        <w:t>推行政府非税收入收缴分离的缴款方式。</w:t>
      </w:r>
    </w:p>
    <w:p w14:paraId="7A453795" w14:textId="77777777" w:rsidR="00702DE2" w:rsidRDefault="00702DE2" w:rsidP="00702DE2">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实行收缴分离的，应当遵守下列规定：</w:t>
      </w:r>
    </w:p>
    <w:p w14:paraId="4C7240B8" w14:textId="77777777" w:rsidR="00702DE2" w:rsidRDefault="00702DE2" w:rsidP="00702DE2">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（一）对缴入国库的，执收单位按照国库管理规定缴款；</w:t>
      </w:r>
    </w:p>
    <w:p w14:paraId="5629BAC5" w14:textId="77777777" w:rsidR="00702DE2" w:rsidRDefault="00702DE2" w:rsidP="00702DE2">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lastRenderedPageBreak/>
        <w:t>（二）对缴入财政专</w:t>
      </w:r>
      <w:proofErr w:type="gramStart"/>
      <w:r>
        <w:rPr>
          <w:rFonts w:ascii="仿宋" w:eastAsia="仿宋" w:hAnsi="仿宋" w:hint="eastAsia"/>
          <w:color w:val="333333"/>
          <w:sz w:val="32"/>
          <w:szCs w:val="32"/>
        </w:rPr>
        <w:t>户或者</w:t>
      </w:r>
      <w:proofErr w:type="gramEnd"/>
      <w:r>
        <w:rPr>
          <w:rFonts w:ascii="仿宋" w:eastAsia="仿宋" w:hAnsi="仿宋" w:hint="eastAsia"/>
          <w:color w:val="333333"/>
          <w:sz w:val="32"/>
          <w:szCs w:val="32"/>
        </w:rPr>
        <w:t>财政结算账户的，缴款义务人凭执收单位开具的《浙江省政府非税收入一般缴款书》，通过代收政府非税收入的商业银行、非银行支付机构办理缴款业务。</w:t>
      </w:r>
    </w:p>
    <w:p w14:paraId="19EEEEEF" w14:textId="77777777" w:rsidR="00702DE2" w:rsidRDefault="00702DE2" w:rsidP="00702DE2">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执收单位对难以实行收缴分离的情形，应当报经财政部门同意后，实行集中汇缴，并将汇</w:t>
      </w:r>
      <w:proofErr w:type="gramStart"/>
      <w:r>
        <w:rPr>
          <w:rFonts w:ascii="仿宋" w:eastAsia="仿宋" w:hAnsi="仿宋" w:hint="eastAsia"/>
          <w:color w:val="333333"/>
          <w:sz w:val="32"/>
          <w:szCs w:val="32"/>
        </w:rPr>
        <w:t>缴资金</w:t>
      </w:r>
      <w:proofErr w:type="gramEnd"/>
      <w:r>
        <w:rPr>
          <w:rFonts w:ascii="仿宋" w:eastAsia="仿宋" w:hAnsi="仿宋" w:hint="eastAsia"/>
          <w:color w:val="333333"/>
          <w:sz w:val="32"/>
          <w:szCs w:val="32"/>
        </w:rPr>
        <w:t>足额上缴财政。</w:t>
      </w:r>
    </w:p>
    <w:p w14:paraId="7E5118B8" w14:textId="77777777" w:rsidR="00702DE2" w:rsidRDefault="00702DE2" w:rsidP="00702DE2">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对实行电子化收缴的，缴款义务人应当按照收缴</w:t>
      </w:r>
      <w:proofErr w:type="gramStart"/>
      <w:r>
        <w:rPr>
          <w:rFonts w:ascii="仿宋" w:eastAsia="仿宋" w:hAnsi="仿宋" w:hint="eastAsia"/>
          <w:color w:val="333333"/>
          <w:sz w:val="32"/>
          <w:szCs w:val="32"/>
        </w:rPr>
        <w:t>电子化规定</w:t>
      </w:r>
      <w:proofErr w:type="gramEnd"/>
      <w:r>
        <w:rPr>
          <w:rFonts w:ascii="仿宋" w:eastAsia="仿宋" w:hAnsi="仿宋" w:hint="eastAsia"/>
          <w:color w:val="333333"/>
          <w:sz w:val="32"/>
          <w:szCs w:val="32"/>
        </w:rPr>
        <w:t>将资金缴入国库、财政专</w:t>
      </w:r>
      <w:proofErr w:type="gramStart"/>
      <w:r>
        <w:rPr>
          <w:rFonts w:ascii="仿宋" w:eastAsia="仿宋" w:hAnsi="仿宋" w:hint="eastAsia"/>
          <w:color w:val="333333"/>
          <w:sz w:val="32"/>
          <w:szCs w:val="32"/>
        </w:rPr>
        <w:t>户或者</w:t>
      </w:r>
      <w:proofErr w:type="gramEnd"/>
      <w:r>
        <w:rPr>
          <w:rFonts w:ascii="仿宋" w:eastAsia="仿宋" w:hAnsi="仿宋" w:hint="eastAsia"/>
          <w:color w:val="333333"/>
          <w:sz w:val="32"/>
          <w:szCs w:val="32"/>
        </w:rPr>
        <w:t>财政结算账户。</w:t>
      </w:r>
    </w:p>
    <w:p w14:paraId="082E3924" w14:textId="77777777" w:rsidR="00702DE2" w:rsidRDefault="00702DE2" w:rsidP="00702DE2">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第十一条</w:t>
      </w:r>
      <w:r>
        <w:rPr>
          <w:rFonts w:ascii="Calibri" w:eastAsia="仿宋" w:hAnsi="Calibri" w:cs="Calibri"/>
          <w:color w:val="333333"/>
          <w:sz w:val="32"/>
          <w:szCs w:val="32"/>
        </w:rPr>
        <w:t> </w:t>
      </w:r>
      <w:r>
        <w:rPr>
          <w:rFonts w:ascii="仿宋" w:eastAsia="仿宋" w:hAnsi="仿宋" w:hint="eastAsia"/>
          <w:color w:val="333333"/>
          <w:sz w:val="32"/>
          <w:szCs w:val="32"/>
        </w:rPr>
        <w:t xml:space="preserve"> 政府非税收</w:t>
      </w:r>
      <w:proofErr w:type="gramStart"/>
      <w:r>
        <w:rPr>
          <w:rFonts w:ascii="仿宋" w:eastAsia="仿宋" w:hAnsi="仿宋" w:hint="eastAsia"/>
          <w:color w:val="333333"/>
          <w:sz w:val="32"/>
          <w:szCs w:val="32"/>
        </w:rPr>
        <w:t>入通过</w:t>
      </w:r>
      <w:proofErr w:type="gramEnd"/>
      <w:r>
        <w:rPr>
          <w:rFonts w:ascii="仿宋" w:eastAsia="仿宋" w:hAnsi="仿宋" w:hint="eastAsia"/>
          <w:color w:val="333333"/>
          <w:sz w:val="32"/>
          <w:szCs w:val="32"/>
        </w:rPr>
        <w:t>财政专</w:t>
      </w:r>
      <w:proofErr w:type="gramStart"/>
      <w:r>
        <w:rPr>
          <w:rFonts w:ascii="仿宋" w:eastAsia="仿宋" w:hAnsi="仿宋" w:hint="eastAsia"/>
          <w:color w:val="333333"/>
          <w:sz w:val="32"/>
          <w:szCs w:val="32"/>
        </w:rPr>
        <w:t>户或者</w:t>
      </w:r>
      <w:proofErr w:type="gramEnd"/>
      <w:r>
        <w:rPr>
          <w:rFonts w:ascii="仿宋" w:eastAsia="仿宋" w:hAnsi="仿宋" w:hint="eastAsia"/>
          <w:color w:val="333333"/>
          <w:sz w:val="32"/>
          <w:szCs w:val="32"/>
        </w:rPr>
        <w:t>财政结算账户缴入国库的，财政部门应当将满足缴库条件的政府非税收入，在财政部规定的时间内按照收入级次分明细科目足额缴入国库。</w:t>
      </w:r>
    </w:p>
    <w:p w14:paraId="7052DBF0" w14:textId="77777777" w:rsidR="00702DE2" w:rsidRDefault="00702DE2" w:rsidP="00702DE2">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第十二条</w:t>
      </w:r>
      <w:r>
        <w:rPr>
          <w:rFonts w:ascii="Calibri" w:eastAsia="仿宋" w:hAnsi="Calibri" w:cs="Calibri"/>
          <w:color w:val="333333"/>
          <w:sz w:val="32"/>
          <w:szCs w:val="32"/>
        </w:rPr>
        <w:t> </w:t>
      </w:r>
      <w:r>
        <w:rPr>
          <w:rFonts w:ascii="仿宋" w:eastAsia="仿宋" w:hAnsi="仿宋" w:hint="eastAsia"/>
          <w:color w:val="333333"/>
          <w:sz w:val="32"/>
          <w:szCs w:val="32"/>
        </w:rPr>
        <w:t xml:space="preserve"> 执收单位应当依法执收政府非税收入，不得提前执</w:t>
      </w:r>
      <w:proofErr w:type="gramStart"/>
      <w:r>
        <w:rPr>
          <w:rFonts w:ascii="仿宋" w:eastAsia="仿宋" w:hAnsi="仿宋" w:hint="eastAsia"/>
          <w:color w:val="333333"/>
          <w:sz w:val="32"/>
          <w:szCs w:val="32"/>
        </w:rPr>
        <w:t>收或者</w:t>
      </w:r>
      <w:proofErr w:type="gramEnd"/>
      <w:r>
        <w:rPr>
          <w:rFonts w:ascii="仿宋" w:eastAsia="仿宋" w:hAnsi="仿宋" w:hint="eastAsia"/>
          <w:color w:val="333333"/>
          <w:sz w:val="32"/>
          <w:szCs w:val="32"/>
        </w:rPr>
        <w:t>多收、缓收、减收、免收政府非税收入。</w:t>
      </w:r>
    </w:p>
    <w:p w14:paraId="35CC796E" w14:textId="77777777" w:rsidR="00702DE2" w:rsidRDefault="00702DE2" w:rsidP="00702DE2">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执收单位缓收、减收、免收政府非税收入的，应当按照法律、法规和国家有关部门、省人民政府制定的规章以及设立项目的有关规范性文件的规定执行。</w:t>
      </w:r>
    </w:p>
    <w:p w14:paraId="005B3287" w14:textId="77777777" w:rsidR="00702DE2" w:rsidRDefault="00702DE2" w:rsidP="00702DE2">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缴款义务人因特殊情况需要缓缴、减缴、免缴政府非税收入的，</w:t>
      </w:r>
      <w:proofErr w:type="gramStart"/>
      <w:r>
        <w:rPr>
          <w:rFonts w:ascii="仿宋" w:eastAsia="仿宋" w:hAnsi="仿宋" w:hint="eastAsia"/>
          <w:color w:val="333333"/>
          <w:sz w:val="32"/>
          <w:szCs w:val="32"/>
        </w:rPr>
        <w:t>应当向执收</w:t>
      </w:r>
      <w:proofErr w:type="gramEnd"/>
      <w:r>
        <w:rPr>
          <w:rFonts w:ascii="仿宋" w:eastAsia="仿宋" w:hAnsi="仿宋" w:hint="eastAsia"/>
          <w:color w:val="333333"/>
          <w:sz w:val="32"/>
          <w:szCs w:val="32"/>
        </w:rPr>
        <w:t>单位提出书面申请，并由执收单位按照法定权限和程序报有关部门批准。</w:t>
      </w:r>
    </w:p>
    <w:p w14:paraId="45AE160C" w14:textId="77777777" w:rsidR="00702DE2" w:rsidRDefault="00702DE2" w:rsidP="00702DE2">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lastRenderedPageBreak/>
        <w:t>第十三条</w:t>
      </w:r>
      <w:r>
        <w:rPr>
          <w:rFonts w:ascii="Calibri" w:eastAsia="仿宋" w:hAnsi="Calibri" w:cs="Calibri"/>
          <w:color w:val="333333"/>
          <w:sz w:val="32"/>
          <w:szCs w:val="32"/>
        </w:rPr>
        <w:t>  </w:t>
      </w:r>
      <w:r>
        <w:rPr>
          <w:rFonts w:ascii="仿宋" w:eastAsia="仿宋" w:hAnsi="仿宋" w:hint="eastAsia"/>
          <w:color w:val="333333"/>
          <w:sz w:val="32"/>
          <w:szCs w:val="32"/>
        </w:rPr>
        <w:t>代收政府非税收入的商业银行应当按照公开、公平、公正和便民的原则，通过竞争性方式确定。</w:t>
      </w:r>
    </w:p>
    <w:p w14:paraId="42909C42" w14:textId="77777777" w:rsidR="00702DE2" w:rsidRDefault="00702DE2" w:rsidP="00702DE2">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第十四条</w:t>
      </w:r>
      <w:r>
        <w:rPr>
          <w:rFonts w:ascii="Calibri" w:eastAsia="仿宋" w:hAnsi="Calibri" w:cs="Calibri"/>
          <w:color w:val="333333"/>
          <w:sz w:val="32"/>
          <w:szCs w:val="32"/>
        </w:rPr>
        <w:t>  </w:t>
      </w:r>
      <w:r>
        <w:rPr>
          <w:rFonts w:ascii="仿宋" w:eastAsia="仿宋" w:hAnsi="仿宋" w:hint="eastAsia"/>
          <w:color w:val="333333"/>
          <w:sz w:val="32"/>
          <w:szCs w:val="32"/>
        </w:rPr>
        <w:t>开设政府非税收入财政专</w:t>
      </w:r>
      <w:proofErr w:type="gramStart"/>
      <w:r>
        <w:rPr>
          <w:rFonts w:ascii="仿宋" w:eastAsia="仿宋" w:hAnsi="仿宋" w:hint="eastAsia"/>
          <w:color w:val="333333"/>
          <w:sz w:val="32"/>
          <w:szCs w:val="32"/>
        </w:rPr>
        <w:t>户或者</w:t>
      </w:r>
      <w:proofErr w:type="gramEnd"/>
      <w:r>
        <w:rPr>
          <w:rFonts w:ascii="仿宋" w:eastAsia="仿宋" w:hAnsi="仿宋" w:hint="eastAsia"/>
          <w:color w:val="333333"/>
          <w:sz w:val="32"/>
          <w:szCs w:val="32"/>
        </w:rPr>
        <w:t>财政结算账户的商业银行应当于收款次日向财政部门报送政府非税收入日报表。</w:t>
      </w:r>
    </w:p>
    <w:p w14:paraId="40C7664B" w14:textId="77777777" w:rsidR="00702DE2" w:rsidRDefault="00702DE2" w:rsidP="00702DE2">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第十五条</w:t>
      </w:r>
      <w:r>
        <w:rPr>
          <w:rFonts w:ascii="Calibri" w:eastAsia="仿宋" w:hAnsi="Calibri" w:cs="Calibri"/>
          <w:color w:val="333333"/>
          <w:sz w:val="32"/>
          <w:szCs w:val="32"/>
        </w:rPr>
        <w:t>  </w:t>
      </w:r>
      <w:r>
        <w:rPr>
          <w:rFonts w:ascii="仿宋" w:eastAsia="仿宋" w:hAnsi="仿宋" w:hint="eastAsia"/>
          <w:color w:val="333333"/>
          <w:sz w:val="32"/>
          <w:szCs w:val="32"/>
        </w:rPr>
        <w:t>财政部门、执收单位以及代收政府非税收入的商业银行、非银行支付机构应当定期核对政府非税收入相关信息并保持一致。</w:t>
      </w:r>
    </w:p>
    <w:p w14:paraId="3CAC2EAD" w14:textId="77777777" w:rsidR="00702DE2" w:rsidRDefault="00702DE2" w:rsidP="00702DE2">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第十六条</w:t>
      </w:r>
      <w:r>
        <w:rPr>
          <w:rFonts w:ascii="Calibri" w:eastAsia="仿宋" w:hAnsi="Calibri" w:cs="Calibri"/>
          <w:color w:val="333333"/>
          <w:sz w:val="32"/>
          <w:szCs w:val="32"/>
        </w:rPr>
        <w:t>  </w:t>
      </w:r>
      <w:r>
        <w:rPr>
          <w:rFonts w:ascii="仿宋" w:eastAsia="仿宋" w:hAnsi="仿宋" w:hint="eastAsia"/>
          <w:color w:val="333333"/>
          <w:sz w:val="32"/>
          <w:szCs w:val="32"/>
        </w:rPr>
        <w:t>政府非税收入的分成，应当按照国家与省规定，由执收单位向同级财政部门提出申请，由同级财政部门按照分级划解、及时清算的原则办理。</w:t>
      </w:r>
    </w:p>
    <w:p w14:paraId="34877E1D" w14:textId="77777777" w:rsidR="00702DE2" w:rsidRDefault="00702DE2" w:rsidP="00702DE2">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任何单位和个人不得擅自将分成资金直接上解上级主管部门或者拨付给下级执收单位。</w:t>
      </w:r>
    </w:p>
    <w:p w14:paraId="4CFDDB27" w14:textId="77777777" w:rsidR="00702DE2" w:rsidRDefault="00702DE2" w:rsidP="00702DE2">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第十七条</w:t>
      </w:r>
      <w:r>
        <w:rPr>
          <w:rFonts w:ascii="Calibri" w:eastAsia="仿宋" w:hAnsi="Calibri" w:cs="Calibri"/>
          <w:color w:val="333333"/>
          <w:sz w:val="32"/>
          <w:szCs w:val="32"/>
        </w:rPr>
        <w:t> </w:t>
      </w:r>
      <w:r>
        <w:rPr>
          <w:rFonts w:ascii="仿宋" w:eastAsia="仿宋" w:hAnsi="仿宋" w:hint="eastAsia"/>
          <w:color w:val="333333"/>
          <w:sz w:val="32"/>
          <w:szCs w:val="32"/>
        </w:rPr>
        <w:t xml:space="preserve"> 因发生政策性调整等因素以及存在技术性差错、误缴、多缴、预收款项结算等情形，缴款义务人可以申请退付政府非税收入。</w:t>
      </w:r>
    </w:p>
    <w:p w14:paraId="41CD3EFC" w14:textId="77777777" w:rsidR="00702DE2" w:rsidRDefault="00702DE2" w:rsidP="00702DE2">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缴款义务人申请退付政府非税收入的，</w:t>
      </w:r>
      <w:proofErr w:type="gramStart"/>
      <w:r>
        <w:rPr>
          <w:rFonts w:ascii="仿宋" w:eastAsia="仿宋" w:hAnsi="仿宋" w:hint="eastAsia"/>
          <w:color w:val="333333"/>
          <w:sz w:val="32"/>
          <w:szCs w:val="32"/>
        </w:rPr>
        <w:t>应当向执收</w:t>
      </w:r>
      <w:proofErr w:type="gramEnd"/>
      <w:r>
        <w:rPr>
          <w:rFonts w:ascii="仿宋" w:eastAsia="仿宋" w:hAnsi="仿宋" w:hint="eastAsia"/>
          <w:color w:val="333333"/>
          <w:sz w:val="32"/>
          <w:szCs w:val="32"/>
        </w:rPr>
        <w:t>单位提出书面退付申请，并提供退付情况说明、缴款原始凭证等材料。</w:t>
      </w:r>
    </w:p>
    <w:p w14:paraId="79F61EE3" w14:textId="77777777" w:rsidR="00702DE2" w:rsidRDefault="00702DE2" w:rsidP="00702DE2">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对材料不齐全的，执收单位应当当场一次性告知；对材料齐全的，执收单位应当自收到书面退付申请之日起五个工作日内核</w:t>
      </w:r>
      <w:r>
        <w:rPr>
          <w:rFonts w:ascii="仿宋" w:eastAsia="仿宋" w:hAnsi="仿宋" w:hint="eastAsia"/>
          <w:color w:val="333333"/>
          <w:sz w:val="32"/>
          <w:szCs w:val="32"/>
        </w:rPr>
        <w:lastRenderedPageBreak/>
        <w:t>对完毕。对不符合退付规定的，执收单位应当说明理由，并退还申请材料；对符合退付规定的，执收单位应当报同级财政部门办理。</w:t>
      </w:r>
    </w:p>
    <w:p w14:paraId="720BE665" w14:textId="77777777" w:rsidR="00702DE2" w:rsidRDefault="00702DE2" w:rsidP="00702DE2">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未经财政部门同意，代收政府非税收入的商业银行或者非银行支付机构不得向缴款义务人退付政府非税收入。</w:t>
      </w:r>
    </w:p>
    <w:p w14:paraId="4D929B50" w14:textId="77777777" w:rsidR="00702DE2" w:rsidRDefault="00702DE2" w:rsidP="00702DE2">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第十八条</w:t>
      </w:r>
      <w:r>
        <w:rPr>
          <w:rFonts w:ascii="Calibri" w:eastAsia="仿宋" w:hAnsi="Calibri" w:cs="Calibri"/>
          <w:color w:val="333333"/>
          <w:sz w:val="32"/>
          <w:szCs w:val="32"/>
        </w:rPr>
        <w:t> </w:t>
      </w:r>
      <w:r>
        <w:rPr>
          <w:rFonts w:ascii="仿宋" w:eastAsia="仿宋" w:hAnsi="仿宋" w:hint="eastAsia"/>
          <w:color w:val="333333"/>
          <w:sz w:val="32"/>
          <w:szCs w:val="32"/>
        </w:rPr>
        <w:t xml:space="preserve"> 执收单位和代收政府非税收入的商业银行应当建立健全政府非税收入票据领购、保管、使用、核销等制度，确定专人负责，设置票据管理台账，按规定向财政部门报送票据使用情况，并纳入单位财务部门统一管理。</w:t>
      </w:r>
    </w:p>
    <w:p w14:paraId="0C5D3830" w14:textId="77777777" w:rsidR="00702DE2" w:rsidRDefault="00702DE2" w:rsidP="00702DE2">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第十九条</w:t>
      </w:r>
      <w:r>
        <w:rPr>
          <w:rStyle w:val="text-tag"/>
          <w:rFonts w:ascii="Calibri" w:eastAsia="黑体" w:hAnsi="Calibri" w:cs="Calibri"/>
          <w:color w:val="333333"/>
          <w:sz w:val="32"/>
          <w:szCs w:val="32"/>
          <w:bdr w:val="none" w:sz="0" w:space="0" w:color="auto" w:frame="1"/>
        </w:rPr>
        <w:t> </w:t>
      </w:r>
      <w:r>
        <w:rPr>
          <w:rFonts w:ascii="Calibri" w:eastAsia="仿宋" w:hAnsi="Calibri" w:cs="Calibri"/>
          <w:color w:val="333333"/>
          <w:sz w:val="32"/>
          <w:szCs w:val="32"/>
        </w:rPr>
        <w:t> </w:t>
      </w:r>
      <w:r>
        <w:rPr>
          <w:rFonts w:ascii="仿宋" w:eastAsia="仿宋" w:hAnsi="仿宋" w:hint="eastAsia"/>
          <w:color w:val="333333"/>
          <w:sz w:val="32"/>
          <w:szCs w:val="32"/>
        </w:rPr>
        <w:t>执收单位应当使用省财政部门统一监（印）制的政府非税收入票据，但依法使用税务发票的除外。</w:t>
      </w:r>
    </w:p>
    <w:p w14:paraId="6F414108" w14:textId="77777777" w:rsidR="00702DE2" w:rsidRDefault="00702DE2" w:rsidP="00702DE2">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政府非税收入票据包括电子票据和纸质票据。</w:t>
      </w:r>
    </w:p>
    <w:p w14:paraId="3568C791" w14:textId="77777777" w:rsidR="00702DE2" w:rsidRDefault="00702DE2" w:rsidP="00702DE2">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第二十条</w:t>
      </w:r>
      <w:r>
        <w:rPr>
          <w:rFonts w:ascii="Calibri" w:eastAsia="仿宋" w:hAnsi="Calibri" w:cs="Calibri"/>
          <w:color w:val="333333"/>
          <w:sz w:val="32"/>
          <w:szCs w:val="32"/>
        </w:rPr>
        <w:t>  </w:t>
      </w:r>
      <w:r>
        <w:rPr>
          <w:rFonts w:ascii="仿宋" w:eastAsia="仿宋" w:hAnsi="仿宋" w:hint="eastAsia"/>
          <w:color w:val="333333"/>
          <w:sz w:val="32"/>
          <w:szCs w:val="32"/>
        </w:rPr>
        <w:t>政府非税收入纸质票据使用完毕，使用单位应当按顺序清理票据存根、装订成册、妥善保管。纸质票据存根的保存期限不得少于五年。保存期满后需销毁的，应当经本单位负责人审核并报原核发票据的财政部门查验后，方可销毁；因特殊情况需要提前销毁的，应当报原核发票据的财政部门同意。</w:t>
      </w:r>
    </w:p>
    <w:p w14:paraId="0FBCE2AA" w14:textId="77777777" w:rsidR="00702DE2" w:rsidRDefault="00702DE2" w:rsidP="00702DE2">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执收单位发现政府非税收入纸质票据遗失、被盗、灭失的，应当查明原因并按有关规定办理。</w:t>
      </w:r>
    </w:p>
    <w:p w14:paraId="5C505731" w14:textId="77777777" w:rsidR="00702DE2" w:rsidRDefault="00702DE2" w:rsidP="00702DE2">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lastRenderedPageBreak/>
        <w:t>第二十一条</w:t>
      </w:r>
      <w:r>
        <w:rPr>
          <w:rFonts w:ascii="Calibri" w:eastAsia="仿宋" w:hAnsi="Calibri" w:cs="Calibri"/>
          <w:color w:val="333333"/>
          <w:sz w:val="32"/>
          <w:szCs w:val="32"/>
        </w:rPr>
        <w:t>  </w:t>
      </w:r>
      <w:r>
        <w:rPr>
          <w:rFonts w:ascii="仿宋" w:eastAsia="仿宋" w:hAnsi="仿宋" w:hint="eastAsia"/>
          <w:color w:val="333333"/>
          <w:sz w:val="32"/>
          <w:szCs w:val="32"/>
        </w:rPr>
        <w:t>政府非税收</w:t>
      </w:r>
      <w:proofErr w:type="gramStart"/>
      <w:r>
        <w:rPr>
          <w:rFonts w:ascii="仿宋" w:eastAsia="仿宋" w:hAnsi="仿宋" w:hint="eastAsia"/>
          <w:color w:val="333333"/>
          <w:sz w:val="32"/>
          <w:szCs w:val="32"/>
        </w:rPr>
        <w:t>入电子</w:t>
      </w:r>
      <w:proofErr w:type="gramEnd"/>
      <w:r>
        <w:rPr>
          <w:rFonts w:ascii="仿宋" w:eastAsia="仿宋" w:hAnsi="仿宋" w:hint="eastAsia"/>
          <w:color w:val="333333"/>
          <w:sz w:val="32"/>
          <w:szCs w:val="32"/>
        </w:rPr>
        <w:t>票据的使用单位和付款单位应当准确、完整、有效接收和读取电子票据，并按照会计信息化和会计档案等有关管理要求归档入账。</w:t>
      </w:r>
    </w:p>
    <w:p w14:paraId="112DDEED" w14:textId="77777777" w:rsidR="00702DE2" w:rsidRDefault="00702DE2" w:rsidP="00702DE2">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第二十二条</w:t>
      </w:r>
      <w:r>
        <w:rPr>
          <w:rFonts w:ascii="Calibri" w:eastAsia="仿宋" w:hAnsi="Calibri" w:cs="Calibri"/>
          <w:color w:val="333333"/>
          <w:sz w:val="32"/>
          <w:szCs w:val="32"/>
        </w:rPr>
        <w:t> </w:t>
      </w:r>
      <w:r>
        <w:rPr>
          <w:rFonts w:ascii="仿宋" w:eastAsia="仿宋" w:hAnsi="仿宋" w:hint="eastAsia"/>
          <w:color w:val="333333"/>
          <w:sz w:val="32"/>
          <w:szCs w:val="32"/>
        </w:rPr>
        <w:t xml:space="preserve"> 市、区县（市）财政部门和</w:t>
      </w:r>
      <w:proofErr w:type="gramStart"/>
      <w:r>
        <w:rPr>
          <w:rFonts w:ascii="仿宋" w:eastAsia="仿宋" w:hAnsi="仿宋" w:hint="eastAsia"/>
          <w:color w:val="333333"/>
          <w:sz w:val="32"/>
          <w:szCs w:val="32"/>
        </w:rPr>
        <w:t>执收</w:t>
      </w:r>
      <w:proofErr w:type="gramEnd"/>
      <w:r>
        <w:rPr>
          <w:rFonts w:ascii="仿宋" w:eastAsia="仿宋" w:hAnsi="仿宋" w:hint="eastAsia"/>
          <w:color w:val="333333"/>
          <w:sz w:val="32"/>
          <w:szCs w:val="32"/>
        </w:rPr>
        <w:t>单位应当依法向社会公开政府非税收</w:t>
      </w:r>
      <w:proofErr w:type="gramStart"/>
      <w:r>
        <w:rPr>
          <w:rFonts w:ascii="仿宋" w:eastAsia="仿宋" w:hAnsi="仿宋" w:hint="eastAsia"/>
          <w:color w:val="333333"/>
          <w:sz w:val="32"/>
          <w:szCs w:val="32"/>
        </w:rPr>
        <w:t>入项目</w:t>
      </w:r>
      <w:proofErr w:type="gramEnd"/>
      <w:r>
        <w:rPr>
          <w:rFonts w:ascii="仿宋" w:eastAsia="仿宋" w:hAnsi="仿宋" w:hint="eastAsia"/>
          <w:color w:val="333333"/>
          <w:sz w:val="32"/>
          <w:szCs w:val="32"/>
        </w:rPr>
        <w:t>名称、设立依据、执收方式和标准等，加大预决算公开力度，提高政府非税收入透明度，并接受公众监督。</w:t>
      </w:r>
    </w:p>
    <w:p w14:paraId="27CDE1B2" w14:textId="77777777" w:rsidR="00702DE2" w:rsidRDefault="00702DE2" w:rsidP="00702DE2">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第二十三条</w:t>
      </w:r>
      <w:r>
        <w:rPr>
          <w:rFonts w:ascii="Calibri" w:eastAsia="仿宋" w:hAnsi="Calibri" w:cs="Calibri"/>
          <w:color w:val="333333"/>
          <w:sz w:val="32"/>
          <w:szCs w:val="32"/>
        </w:rPr>
        <w:t>  </w:t>
      </w:r>
      <w:r>
        <w:rPr>
          <w:rFonts w:ascii="仿宋" w:eastAsia="仿宋" w:hAnsi="仿宋" w:hint="eastAsia"/>
          <w:color w:val="333333"/>
          <w:sz w:val="32"/>
          <w:szCs w:val="32"/>
        </w:rPr>
        <w:t>违反本规定的行为，法律、法规已有法律责任规定的，从其规定。</w:t>
      </w:r>
    </w:p>
    <w:p w14:paraId="20583AF7" w14:textId="77777777" w:rsidR="00702DE2" w:rsidRDefault="00702DE2" w:rsidP="00702DE2">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第二十四条</w:t>
      </w:r>
      <w:r>
        <w:rPr>
          <w:rFonts w:ascii="Calibri" w:eastAsia="仿宋" w:hAnsi="Calibri" w:cs="Calibri"/>
          <w:color w:val="333333"/>
          <w:sz w:val="32"/>
          <w:szCs w:val="32"/>
        </w:rPr>
        <w:t> </w:t>
      </w:r>
      <w:r>
        <w:rPr>
          <w:rFonts w:ascii="仿宋" w:eastAsia="仿宋" w:hAnsi="仿宋" w:hint="eastAsia"/>
          <w:color w:val="333333"/>
          <w:sz w:val="32"/>
          <w:szCs w:val="32"/>
        </w:rPr>
        <w:t xml:space="preserve"> 违反本规定，有关部门、执收单位及其工作人员未依法履行职责的，由其上级主管部门或者所在单位责令改正。造成后果的，由有权机关对直接负责的主管人员和其他直接责任人员依法给予处分。</w:t>
      </w:r>
    </w:p>
    <w:p w14:paraId="73DACC47" w14:textId="77777777" w:rsidR="00702DE2" w:rsidRDefault="00702DE2" w:rsidP="00702DE2">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第二十五条</w:t>
      </w:r>
      <w:r>
        <w:rPr>
          <w:rFonts w:ascii="Calibri" w:eastAsia="仿宋" w:hAnsi="Calibri" w:cs="Calibri"/>
          <w:color w:val="333333"/>
          <w:sz w:val="32"/>
          <w:szCs w:val="32"/>
        </w:rPr>
        <w:t>  </w:t>
      </w:r>
      <w:r>
        <w:rPr>
          <w:rFonts w:ascii="仿宋" w:eastAsia="仿宋" w:hAnsi="仿宋" w:hint="eastAsia"/>
          <w:color w:val="333333"/>
          <w:sz w:val="32"/>
          <w:szCs w:val="32"/>
        </w:rPr>
        <w:t>本规定自2022年3月1日起施行。2011年9月5日市人民政府发布的《宁波市政府非税收入管理办法》（市政府令第188号）同时废止。</w:t>
      </w:r>
    </w:p>
    <w:p w14:paraId="295356A0" w14:textId="4340D364" w:rsidR="003E62A0" w:rsidRPr="00702DE2" w:rsidRDefault="003E62A0" w:rsidP="00702DE2">
      <w:pPr>
        <w:widowControl/>
        <w:shd w:val="clear" w:color="auto" w:fill="FFFFFF"/>
        <w:ind w:firstLine="480"/>
        <w:jc w:val="left"/>
        <w:rPr>
          <w:rFonts w:ascii="仿宋" w:eastAsia="仿宋" w:hAnsi="仿宋" w:cs="宋体"/>
          <w:color w:val="333333"/>
          <w:kern w:val="0"/>
          <w:sz w:val="32"/>
          <w:szCs w:val="32"/>
        </w:rPr>
      </w:pPr>
    </w:p>
    <w:sectPr w:rsidR="003E62A0" w:rsidRPr="00702DE2">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C11DA" w14:textId="77777777" w:rsidR="003D5AD4" w:rsidRDefault="003D5AD4">
      <w:r>
        <w:separator/>
      </w:r>
    </w:p>
  </w:endnote>
  <w:endnote w:type="continuationSeparator" w:id="0">
    <w:p w14:paraId="0B7EE67A" w14:textId="77777777" w:rsidR="003D5AD4" w:rsidRDefault="003D5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书宋简体">
    <w:altName w:val="宋体"/>
    <w:charset w:val="86"/>
    <w:family w:val="script"/>
    <w:pitch w:val="default"/>
    <w:sig w:usb0="00000000" w:usb1="00000000" w:usb2="00000000" w:usb3="00000000" w:csb0="00040000" w:csb1="00000000"/>
  </w:font>
  <w:font w:name="方正小标宋_GBK">
    <w:charset w:val="86"/>
    <w:family w:val="script"/>
    <w:pitch w:val="default"/>
    <w:sig w:usb0="00000001" w:usb1="080E0000" w:usb2="00000000" w:usb3="00000000" w:csb0="00040000" w:csb1="00000000"/>
  </w:font>
  <w:font w:name="楷体_GB2312">
    <w:altName w:val="楷体"/>
    <w:charset w:val="00"/>
    <w:family w:val="auto"/>
    <w:pitch w:val="default"/>
  </w:font>
  <w:font w:name="方正小标宋简体">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73305" w14:textId="77777777" w:rsidR="003E62A0" w:rsidRDefault="006B06D9">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14:anchorId="4A48864C" wp14:editId="5B54FD2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EA9CB2" w14:textId="77777777" w:rsidR="003E62A0" w:rsidRDefault="006B06D9">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A48864C"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4EA9CB2" w14:textId="77777777" w:rsidR="003E62A0" w:rsidRDefault="006B06D9">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7F5D3329" w14:textId="535D9941" w:rsidR="003E62A0" w:rsidRDefault="006B06D9">
    <w:pPr>
      <w:pStyle w:val="a5"/>
      <w:wordWrap w:val="0"/>
      <w:ind w:leftChars="2280" w:left="4788" w:firstLineChars="2000" w:firstLine="6400"/>
      <w:jc w:val="right"/>
      <w:rPr>
        <w:rFonts w:ascii="宋体" w:eastAsia="宋体" w:hAnsi="宋体" w:cs="宋体"/>
        <w:b/>
        <w:bCs/>
        <w:color w:val="005192"/>
        <w:sz w:val="28"/>
        <w:szCs w:val="44"/>
      </w:rPr>
    </w:pPr>
    <w:r>
      <w:rPr>
        <w:noProof/>
        <w:sz w:val="32"/>
      </w:rPr>
      <mc:AlternateContent>
        <mc:Choice Requires="wps">
          <w:drawing>
            <wp:anchor distT="0" distB="0" distL="114300" distR="114300" simplePos="0" relativeHeight="251661312" behindDoc="0" locked="0" layoutInCell="1" allowOverlap="1" wp14:anchorId="667FCDED" wp14:editId="500BEF5D">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DBEE0A"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" strokecolor="#005192" strokeweight="1.75pt">
              <v:stroke joinstyle="miter"/>
            </v:line>
          </w:pict>
        </mc:Fallback>
      </mc:AlternateContent>
    </w:r>
    <w:r>
      <w:rPr>
        <w:rFonts w:eastAsia="仿宋" w:hint="eastAsia"/>
        <w:sz w:val="32"/>
        <w:szCs w:val="48"/>
      </w:rPr>
      <w:t>X</w:t>
    </w:r>
    <w:r w:rsidR="00D44E0F">
      <w:rPr>
        <w:rFonts w:ascii="宋体" w:eastAsia="宋体" w:hAnsi="宋体" w:cs="宋体" w:hint="eastAsia"/>
        <w:b/>
        <w:bCs/>
        <w:color w:val="005192"/>
        <w:sz w:val="28"/>
        <w:szCs w:val="44"/>
      </w:rPr>
      <w:t>宁波市</w:t>
    </w:r>
    <w:r>
      <w:rPr>
        <w:rFonts w:ascii="宋体" w:eastAsia="宋体" w:hAnsi="宋体" w:cs="宋体" w:hint="eastAsia"/>
        <w:b/>
        <w:bCs/>
        <w:color w:val="005192"/>
        <w:sz w:val="28"/>
        <w:szCs w:val="44"/>
      </w:rPr>
      <w:t xml:space="preserve">人民政府发布     </w:t>
    </w:r>
  </w:p>
  <w:p w14:paraId="35809EC3" w14:textId="77777777" w:rsidR="003E62A0" w:rsidRDefault="003E62A0">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C6911" w14:textId="77777777" w:rsidR="003D5AD4" w:rsidRDefault="003D5AD4">
      <w:r>
        <w:separator/>
      </w:r>
    </w:p>
  </w:footnote>
  <w:footnote w:type="continuationSeparator" w:id="0">
    <w:p w14:paraId="58FE54DC" w14:textId="77777777" w:rsidR="003D5AD4" w:rsidRDefault="003D5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5ED64" w14:textId="77777777" w:rsidR="003E62A0" w:rsidRDefault="006B06D9">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14:anchorId="0FF5C5E4" wp14:editId="62B56EA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E3BD38"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" strokecolor="#005192" strokeweight="1.75pt">
              <v:stroke joinstyle="miter"/>
            </v:line>
          </w:pict>
        </mc:Fallback>
      </mc:AlternateContent>
    </w:r>
  </w:p>
  <w:p w14:paraId="3BD0C728" w14:textId="1ACBCFC7" w:rsidR="003E62A0" w:rsidRDefault="006B06D9">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6561F62B" wp14:editId="7A2DCE19">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D44E0F">
      <w:rPr>
        <w:rFonts w:ascii="宋体" w:eastAsia="宋体" w:hAnsi="宋体" w:cs="宋体" w:hint="eastAsia"/>
        <w:b/>
        <w:bCs/>
        <w:color w:val="005192"/>
        <w:sz w:val="32"/>
        <w:szCs w:val="32"/>
      </w:rPr>
      <w:t>宁波市</w:t>
    </w:r>
    <w:r>
      <w:rPr>
        <w:rFonts w:ascii="宋体" w:eastAsia="宋体" w:hAnsi="宋体" w:cs="宋体" w:hint="eastAsia"/>
        <w:b/>
        <w:bCs/>
        <w:color w:val="005192"/>
        <w:sz w:val="32"/>
        <w:szCs w:val="32"/>
      </w:rPr>
      <w:t>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C9011D9"/>
    <w:rsid w:val="00016997"/>
    <w:rsid w:val="00091FFA"/>
    <w:rsid w:val="00093996"/>
    <w:rsid w:val="00113460"/>
    <w:rsid w:val="001A2C75"/>
    <w:rsid w:val="003B1326"/>
    <w:rsid w:val="003D5AD4"/>
    <w:rsid w:val="003E62A0"/>
    <w:rsid w:val="003F3B92"/>
    <w:rsid w:val="00553459"/>
    <w:rsid w:val="00647DD2"/>
    <w:rsid w:val="00651D0C"/>
    <w:rsid w:val="006B06D9"/>
    <w:rsid w:val="00701352"/>
    <w:rsid w:val="00702DE2"/>
    <w:rsid w:val="007F75B8"/>
    <w:rsid w:val="00D03A40"/>
    <w:rsid w:val="00D44E0F"/>
    <w:rsid w:val="00ED3908"/>
    <w:rsid w:val="00EF35E2"/>
    <w:rsid w:val="00FF7158"/>
    <w:rsid w:val="019E71BD"/>
    <w:rsid w:val="06A67E67"/>
    <w:rsid w:val="080F63D8"/>
    <w:rsid w:val="09341458"/>
    <w:rsid w:val="152D2DCA"/>
    <w:rsid w:val="22440422"/>
    <w:rsid w:val="31A15F24"/>
    <w:rsid w:val="39A232A0"/>
    <w:rsid w:val="3B5A6BBB"/>
    <w:rsid w:val="3EDA13A6"/>
    <w:rsid w:val="42F058B7"/>
    <w:rsid w:val="436109F6"/>
    <w:rsid w:val="441A38D4"/>
    <w:rsid w:val="4BC77339"/>
    <w:rsid w:val="4C9236C5"/>
    <w:rsid w:val="52446A29"/>
    <w:rsid w:val="52F46F0B"/>
    <w:rsid w:val="55E064E0"/>
    <w:rsid w:val="608816D1"/>
    <w:rsid w:val="6D0E3F22"/>
    <w:rsid w:val="7C9011D9"/>
    <w:rsid w:val="7DC65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C9CE95"/>
  <w15:docId w15:val="{83FB4AC5-3252-42FA-AA0C-4FF3DD4CC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pPr>
      <w:spacing w:after="1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6">
    <w:name w:val="一级标题（二号小标宋）"/>
    <w:basedOn w:val="a"/>
    <w:qFormat/>
    <w:pPr>
      <w:jc w:val="center"/>
    </w:pPr>
    <w:rPr>
      <w:rFonts w:ascii="方正书宋简体" w:eastAsia="方正小标宋_GBK" w:hAnsi="方正书宋简体"/>
      <w:color w:val="000000"/>
      <w:sz w:val="42"/>
      <w:szCs w:val="42"/>
    </w:rPr>
  </w:style>
  <w:style w:type="paragraph" w:customStyle="1" w:styleId="155">
    <w:name w:val="15.5楷体（标题下楷体）"/>
    <w:basedOn w:val="a"/>
    <w:qFormat/>
    <w:pPr>
      <w:spacing w:before="105"/>
      <w:ind w:firstLineChars="200" w:firstLine="200"/>
      <w:jc w:val="center"/>
    </w:pPr>
    <w:rPr>
      <w:rFonts w:ascii="方正书宋简体" w:eastAsia="楷体_GB2312" w:hAnsi="方正书宋简体"/>
      <w:color w:val="000000"/>
      <w:sz w:val="31"/>
      <w:szCs w:val="31"/>
    </w:rPr>
  </w:style>
  <w:style w:type="paragraph" w:styleId="a7">
    <w:name w:val="Normal (Web)"/>
    <w:basedOn w:val="a"/>
    <w:uiPriority w:val="99"/>
    <w:unhideWhenUsed/>
    <w:rsid w:val="007F75B8"/>
    <w:pPr>
      <w:widowControl/>
      <w:spacing w:before="100" w:beforeAutospacing="1" w:after="100" w:afterAutospacing="1"/>
      <w:jc w:val="left"/>
    </w:pPr>
    <w:rPr>
      <w:rFonts w:ascii="宋体" w:eastAsia="宋体" w:hAnsi="宋体" w:cs="宋体"/>
      <w:kern w:val="0"/>
      <w:sz w:val="24"/>
    </w:rPr>
  </w:style>
  <w:style w:type="character" w:customStyle="1" w:styleId="text-tag">
    <w:name w:val="text-tag"/>
    <w:basedOn w:val="a1"/>
    <w:rsid w:val="007F75B8"/>
  </w:style>
  <w:style w:type="paragraph" w:customStyle="1" w:styleId="text-tag1">
    <w:name w:val="text-tag1"/>
    <w:basedOn w:val="a"/>
    <w:rsid w:val="007F75B8"/>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47038">
      <w:bodyDiv w:val="1"/>
      <w:marLeft w:val="0"/>
      <w:marRight w:val="0"/>
      <w:marTop w:val="0"/>
      <w:marBottom w:val="0"/>
      <w:divBdr>
        <w:top w:val="none" w:sz="0" w:space="0" w:color="auto"/>
        <w:left w:val="none" w:sz="0" w:space="0" w:color="auto"/>
        <w:bottom w:val="none" w:sz="0" w:space="0" w:color="auto"/>
        <w:right w:val="none" w:sz="0" w:space="0" w:color="auto"/>
      </w:divBdr>
    </w:div>
    <w:div w:id="828910396">
      <w:bodyDiv w:val="1"/>
      <w:marLeft w:val="0"/>
      <w:marRight w:val="0"/>
      <w:marTop w:val="0"/>
      <w:marBottom w:val="0"/>
      <w:divBdr>
        <w:top w:val="none" w:sz="0" w:space="0" w:color="auto"/>
        <w:left w:val="none" w:sz="0" w:space="0" w:color="auto"/>
        <w:bottom w:val="none" w:sz="0" w:space="0" w:color="auto"/>
        <w:right w:val="none" w:sz="0" w:space="0" w:color="auto"/>
      </w:divBdr>
    </w:div>
    <w:div w:id="968123263">
      <w:bodyDiv w:val="1"/>
      <w:marLeft w:val="0"/>
      <w:marRight w:val="0"/>
      <w:marTop w:val="0"/>
      <w:marBottom w:val="0"/>
      <w:divBdr>
        <w:top w:val="none" w:sz="0" w:space="0" w:color="auto"/>
        <w:left w:val="none" w:sz="0" w:space="0" w:color="auto"/>
        <w:bottom w:val="none" w:sz="0" w:space="0" w:color="auto"/>
        <w:right w:val="none" w:sz="0" w:space="0" w:color="auto"/>
      </w:divBdr>
      <w:divsChild>
        <w:div w:id="1400250906">
          <w:marLeft w:val="1170"/>
          <w:marRight w:val="1170"/>
          <w:marTop w:val="450"/>
          <w:marBottom w:val="105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432</Words>
  <Characters>2469</Characters>
  <Application>Microsoft Office Word</Application>
  <DocSecurity>0</DocSecurity>
  <Lines>20</Lines>
  <Paragraphs>5</Paragraphs>
  <ScaleCrop>false</ScaleCrop>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jxm</cp:lastModifiedBy>
  <cp:revision>16</cp:revision>
  <cp:lastPrinted>2021-09-22T01:19:00Z</cp:lastPrinted>
  <dcterms:created xsi:type="dcterms:W3CDTF">2021-09-09T02:41:00Z</dcterms:created>
  <dcterms:modified xsi:type="dcterms:W3CDTF">2022-01-21T07:57:00Z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30879BFE283E47C9A2B528C6C152D221</vt:lpwstr>
  </property>
</Properties>
</file>